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2</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kern w:val="0"/>
          <w:sz w:val="44"/>
          <w:szCs w:val="44"/>
          <w:lang w:val="en-US" w:eastAsia="zh-CN" w:bidi="ar-SA"/>
        </w:rPr>
      </w:pPr>
      <w:r>
        <w:rPr>
          <w:rFonts w:hint="eastAsia" w:ascii="华文中宋" w:hAnsi="华文中宋" w:eastAsia="华文中宋" w:cs="华文中宋"/>
          <w:color w:val="000000"/>
          <w:kern w:val="0"/>
          <w:sz w:val="44"/>
          <w:szCs w:val="44"/>
          <w:lang w:val="en-US" w:eastAsia="zh-CN" w:bidi="ar-SA"/>
        </w:rPr>
        <w:t>市财政局涉企行政处罚减轻处罚事项清单</w:t>
      </w:r>
    </w:p>
    <w:tbl>
      <w:tblPr>
        <w:tblStyle w:val="6"/>
        <w:tblW w:w="1434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15"/>
        <w:gridCol w:w="3230"/>
        <w:gridCol w:w="751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1915"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3230"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减轻处罚条件</w:t>
            </w:r>
          </w:p>
        </w:tc>
        <w:tc>
          <w:tcPr>
            <w:tcW w:w="751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减轻处罚依据</w:t>
            </w:r>
          </w:p>
        </w:tc>
        <w:tc>
          <w:tcPr>
            <w:tcW w:w="897"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8"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auto"/>
                <w:spacing w:val="15"/>
                <w:sz w:val="24"/>
                <w:szCs w:val="24"/>
                <w:lang w:val="en-US" w:eastAsia="zh-CN"/>
              </w:rPr>
            </w:pPr>
            <w:r>
              <w:rPr>
                <w:rFonts w:hint="eastAsia" w:ascii="仿宋_GB2312" w:hAnsi="仿宋_GB2312" w:eastAsia="仿宋_GB2312" w:cs="仿宋_GB2312"/>
                <w:i w:val="0"/>
                <w:caps w:val="0"/>
                <w:color w:val="auto"/>
                <w:spacing w:val="15"/>
                <w:sz w:val="24"/>
                <w:szCs w:val="24"/>
                <w:lang w:val="en-US" w:eastAsia="zh-CN"/>
              </w:rPr>
              <w:t>1</w:t>
            </w: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i w:val="0"/>
                <w:caps w:val="0"/>
                <w:color w:val="auto"/>
                <w:spacing w:val="15"/>
                <w:sz w:val="24"/>
                <w:szCs w:val="24"/>
              </w:rPr>
              <w:t>对</w:t>
            </w:r>
            <w:r>
              <w:rPr>
                <w:rFonts w:hint="eastAsia" w:ascii="仿宋_GB2312" w:hAnsi="仿宋_GB2312" w:eastAsia="仿宋_GB2312" w:cs="仿宋_GB2312"/>
                <w:i w:val="0"/>
                <w:caps w:val="0"/>
                <w:color w:val="auto"/>
                <w:spacing w:val="15"/>
                <w:sz w:val="24"/>
                <w:szCs w:val="24"/>
                <w:lang w:eastAsia="zh-CN"/>
              </w:rPr>
              <w:t>供应商</w:t>
            </w:r>
            <w:r>
              <w:rPr>
                <w:rFonts w:hint="eastAsia" w:ascii="仿宋_GB2312" w:hAnsi="仿宋_GB2312" w:eastAsia="仿宋_GB2312" w:cs="仿宋_GB2312"/>
                <w:i w:val="0"/>
                <w:caps w:val="0"/>
                <w:color w:val="auto"/>
                <w:spacing w:val="15"/>
                <w:sz w:val="24"/>
                <w:szCs w:val="24"/>
              </w:rPr>
              <w:t>提供虚假材料谋取中标、成交的</w:t>
            </w:r>
            <w:r>
              <w:rPr>
                <w:rFonts w:hint="eastAsia" w:ascii="仿宋_GB2312" w:hAnsi="仿宋_GB2312" w:eastAsia="仿宋_GB2312" w:cs="仿宋_GB2312"/>
                <w:i w:val="0"/>
                <w:caps w:val="0"/>
                <w:color w:val="auto"/>
                <w:spacing w:val="15"/>
                <w:sz w:val="24"/>
                <w:szCs w:val="24"/>
                <w:lang w:eastAsia="zh-CN"/>
              </w:rPr>
              <w:t>行政处罚</w:t>
            </w:r>
          </w:p>
        </w:tc>
        <w:tc>
          <w:tcPr>
            <w:tcW w:w="3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：积极配合，主动整改并</w:t>
            </w:r>
            <w:r>
              <w:rPr>
                <w:rFonts w:hint="eastAsia" w:ascii="仿宋_GB2312" w:hAnsi="仿宋_GB2312" w:eastAsia="仿宋_GB2312" w:cs="仿宋_GB2312"/>
                <w:i w:val="0"/>
                <w:caps w:val="0"/>
                <w:color w:val="auto"/>
                <w:spacing w:val="15"/>
                <w:sz w:val="24"/>
                <w:szCs w:val="24"/>
                <w:lang w:val="en-US" w:eastAsia="zh-CN"/>
              </w:rPr>
              <w:t>按采购文件评审办法规定的递补规则，从合格候选人中另行确定中标成交供应商。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color w:val="auto"/>
                <w:lang w:val="en-US" w:eastAsia="zh-CN"/>
              </w:rPr>
            </w:pPr>
          </w:p>
        </w:tc>
        <w:tc>
          <w:tcPr>
            <w:tcW w:w="7518"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第七十七条</w:t>
            </w:r>
            <w:r>
              <w:rPr>
                <w:rFonts w:hint="eastAsia" w:ascii="仿宋_GB2312" w:hAnsi="仿宋_GB2312" w:eastAsia="仿宋_GB2312" w:cs="仿宋_GB2312"/>
                <w:b/>
                <w:bCs/>
                <w:i w:val="0"/>
                <w:caps w:val="0"/>
                <w:color w:val="auto"/>
                <w:spacing w:val="15"/>
                <w:sz w:val="24"/>
                <w:szCs w:val="24"/>
                <w:lang w:val="en-US" w:eastAsia="zh-CN"/>
              </w:rPr>
              <w:t>　</w:t>
            </w:r>
            <w:r>
              <w:rPr>
                <w:rFonts w:hint="eastAsia" w:cs="仿宋_GB2312"/>
                <w:b w:val="0"/>
                <w:bCs w:val="0"/>
                <w:i w:val="0"/>
                <w:caps w:val="0"/>
                <w:color w:val="000000" w:themeColor="text1"/>
                <w:spacing w:val="15"/>
                <w:sz w:val="24"/>
                <w:szCs w:val="24"/>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供应商有前款第(一)至(五)项情形之一的，中标、成交无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auto"/>
                <w:spacing w:val="15"/>
                <w:sz w:val="24"/>
                <w:szCs w:val="24"/>
                <w:lang w:val="en-US" w:eastAsia="zh-CN"/>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auto"/>
                <w:sz w:val="32"/>
                <w:szCs w:val="32"/>
                <w:vertAlign w:val="baseline"/>
                <w:lang w:eastAsia="zh-CN"/>
              </w:rPr>
            </w:pPr>
          </w:p>
        </w:tc>
      </w:tr>
    </w:tbl>
    <w:p>
      <w:pPr>
        <w:rPr>
          <w:color w:val="auto"/>
        </w:rPr>
      </w:pPr>
      <w:r>
        <w:rPr>
          <w:color w:val="auto"/>
        </w:rPr>
        <w:br w:type="page"/>
      </w:r>
    </w:p>
    <w:p>
      <w:pPr>
        <w:pStyle w:val="2"/>
      </w:pPr>
    </w:p>
    <w:tbl>
      <w:tblPr>
        <w:tblStyle w:val="6"/>
        <w:tblW w:w="14397"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3254"/>
        <w:gridCol w:w="753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2</w:t>
            </w:r>
          </w:p>
        </w:tc>
        <w:tc>
          <w:tcPr>
            <w:tcW w:w="19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对供应商中标或者成交后无正当理由拒不与采购人签订政府采购合同的行政处罚</w:t>
            </w:r>
          </w:p>
        </w:tc>
        <w:tc>
          <w:tcPr>
            <w:tcW w:w="32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：积极配合，主动整改并</w:t>
            </w:r>
            <w:r>
              <w:rPr>
                <w:rFonts w:hint="eastAsia" w:ascii="仿宋_GB2312" w:hAnsi="仿宋_GB2312" w:eastAsia="仿宋_GB2312" w:cs="仿宋_GB2312"/>
                <w:i w:val="0"/>
                <w:caps w:val="0"/>
                <w:color w:val="auto"/>
                <w:spacing w:val="15"/>
                <w:sz w:val="24"/>
                <w:szCs w:val="24"/>
                <w:lang w:val="en-US" w:eastAsia="zh-CN"/>
              </w:rPr>
              <w:t>按采购文件评审办法规定的递补规则，从合格候选人中另行确定中标成交供应商。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7532"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《中华人民共和国政府采购法实施条例》第七十二条第二项</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供应商有下列情形之一的，依照政府采购法第七十七条第一款的规定追究法律责任：(二)中标或者成交后无正当理由拒不与采购人签订政府采购合同。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9"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方正书宋_GBK"/>
    <w:panose1 w:val="02010600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020E"/>
    <w:rsid w:val="366803BA"/>
    <w:rsid w:val="3C76477F"/>
    <w:rsid w:val="4FEFDC88"/>
    <w:rsid w:val="50643EBB"/>
    <w:rsid w:val="57BE3007"/>
    <w:rsid w:val="6D6305F3"/>
    <w:rsid w:val="7977020E"/>
    <w:rsid w:val="7EFF8124"/>
    <w:rsid w:val="7F5B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2024-12-21T01:09:00Z</dcterms:created>
  <dc:creator>Administrator</dc:creator>
  <cp:lastModifiedBy>czj</cp:lastModifiedBy>
  <dcterms:modified xsi:type="dcterms:W3CDTF">2024-12-31T16:23:07Z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